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黑体" w:hAnsi="黑体" w:eastAsia="黑体"/>
          <w:b/>
          <w:sz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2"/>
        </w:rPr>
        <w:t>中国知网课程作业管理系统介绍</w:t>
      </w:r>
    </w:p>
    <w:p>
      <w:pPr>
        <w:ind w:firstLine="0" w:firstLineChars="0"/>
        <w:jc w:val="center"/>
      </w:pPr>
    </w:p>
    <w:p>
      <w:pPr>
        <w:pStyle w:val="2"/>
      </w:pPr>
      <w:r>
        <w:rPr>
          <w:rFonts w:hint="eastAsia"/>
        </w:rPr>
        <w:t>研制背景</w:t>
      </w:r>
    </w:p>
    <w:p>
      <w:pPr>
        <w:spacing w:line="336" w:lineRule="auto"/>
        <w:ind w:firstLine="480"/>
        <w:rPr>
          <w:sz w:val="22"/>
        </w:rPr>
      </w:pPr>
      <w:r>
        <w:rPr>
          <w:rFonts w:hint="eastAsia"/>
          <w:sz w:val="24"/>
        </w:rPr>
        <w:t>近年来，为更科学、全面的考察学生协作应用、知识运用、逻辑思考、语言文字运用、原创思考等综合素质，大作业、小论文已逐渐成为学生课程学习掌握情况的重要考核方式。但学生在实际写作中，仍存在作业抄袭拷贝、</w:t>
      </w:r>
      <w:r>
        <w:rPr>
          <w:rFonts w:hint="eastAsia"/>
          <w:sz w:val="22"/>
        </w:rPr>
        <w:t>参考资料占比高、原创程度低等现象，仅凭授课教师或助教进行人工判断，无法完全判定学生作业是否原创。</w:t>
      </w:r>
    </w:p>
    <w:p>
      <w:pPr>
        <w:spacing w:line="336" w:lineRule="auto"/>
        <w:ind w:firstLine="480"/>
        <w:rPr>
          <w:sz w:val="24"/>
        </w:rPr>
      </w:pPr>
      <w:r>
        <w:rPr>
          <w:rFonts w:hint="eastAsia"/>
          <w:sz w:val="24"/>
        </w:rPr>
        <w:t>2018年7月4日，教育部办公厅发布的《教育部办公厅关于严厉查处高等学校学位论文买卖、代写行为的通知》。其中强调学位授予单位要加强学风建设，强化学术诚信教育，明确工作职责，健全考评体系，完善查处办法，规范查处程序，加大惩戒力度；同时要加强学位论文全过程管理，加强对学位论文研究及撰写过程的指导。</w:t>
      </w:r>
    </w:p>
    <w:p>
      <w:pPr>
        <w:spacing w:line="336" w:lineRule="auto"/>
        <w:ind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019</w:t>
      </w:r>
      <w:r>
        <w:rPr>
          <w:rFonts w:hint="eastAsia"/>
          <w:sz w:val="24"/>
        </w:rPr>
        <w:t>年2月2</w:t>
      </w:r>
      <w:r>
        <w:rPr>
          <w:sz w:val="24"/>
        </w:rPr>
        <w:t>7</w:t>
      </w:r>
      <w:r>
        <w:rPr>
          <w:rFonts w:hint="eastAsia"/>
          <w:sz w:val="24"/>
        </w:rPr>
        <w:t>日，教育部再次发文，要求进一步规范和加强研究生招生考及培养管理工作。通知指出，经过四十年的发展，我国已经迈入研究生教育大国行列，研究生培养单位要健全完善预防和处置学术不端的机制，加大对学术不端、学位论文作假行为的查处力度，露头即查、一查到底、有责必究、绝不姑息，实现“零容忍”。</w:t>
      </w:r>
    </w:p>
    <w:p>
      <w:pPr>
        <w:spacing w:line="336" w:lineRule="auto"/>
        <w:ind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019</w:t>
      </w:r>
      <w:r>
        <w:rPr>
          <w:rFonts w:hint="eastAsia"/>
          <w:sz w:val="24"/>
        </w:rPr>
        <w:t>年3月5日，国务院总理李克强作政府工作报告。报告中指出，要加强科研伦理和学风建设，惩戒学术不端，力戒浮躁之风。</w:t>
      </w:r>
    </w:p>
    <w:p>
      <w:pPr>
        <w:spacing w:line="336" w:lineRule="auto"/>
        <w:ind w:firstLine="480"/>
        <w:rPr>
          <w:sz w:val="24"/>
        </w:rPr>
      </w:pPr>
      <w:r>
        <w:rPr>
          <w:rFonts w:hint="eastAsia"/>
          <w:sz w:val="24"/>
        </w:rPr>
        <w:t>从“重结果”向“过程、结果两手抓两手都要硬”的转变，正是我国由研究生教育大国迈向研究生教育强国的必经之路。完善和加强研究生培养过程中关于学风建设、学术不端问题的预防和处置机制，完全符合中国新时代研究生教育的总体要求，而信息化手段的应用作为切入点，可以良好地辅助上述工作。</w:t>
      </w:r>
    </w:p>
    <w:p>
      <w:pPr>
        <w:spacing w:line="336" w:lineRule="auto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为更好地辅助教师或助教科学评估学生作业水平，帮助发现作业中的学术不端现象，有效预防抄袭、剽窃等行为，引导学生遵从学术规范、树立学术诚信一是，“中国知网”推出了课程作业管理系统，面向学生多门课程、多个课堂、多批次作业的线上管理提供专业信息化服务，不仅可检查文字形式作业，也可实现表格、公式、程序代码的查重。</w:t>
      </w:r>
    </w:p>
    <w:p>
      <w:pPr>
        <w:pStyle w:val="2"/>
        <w:ind w:left="0" w:firstLine="0"/>
      </w:pPr>
      <w:r>
        <w:rPr>
          <w:rFonts w:hint="eastAsia"/>
        </w:rPr>
        <w:t>系统介绍-基本功能</w:t>
      </w:r>
    </w:p>
    <w:p>
      <w:pPr>
        <w:ind w:firstLine="0" w:firstLineChars="0"/>
      </w:pPr>
      <w:r>
        <w:drawing>
          <wp:inline distT="0" distB="0" distL="0" distR="0">
            <wp:extent cx="5274310" cy="387096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7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0" w:firstLineChars="0"/>
      </w:pPr>
    </w:p>
    <w:p>
      <w:pPr>
        <w:spacing w:line="360" w:lineRule="auto"/>
        <w:ind w:firstLine="484" w:firstLineChars="202"/>
        <w:rPr>
          <w:sz w:val="24"/>
        </w:rPr>
      </w:pPr>
      <w:r>
        <w:rPr>
          <w:rFonts w:hint="eastAsia"/>
          <w:sz w:val="24"/>
        </w:rPr>
        <w:t>系统提供课程创建、作业布置、作业提交和检测、在线审阅、信息统计等功能模块，支持按实际课程创建作业集，可选个人和小组作业不同形式，实现课程作业全过程管理，帮助学校动态掌握课程作业质量情况。</w:t>
      </w:r>
    </w:p>
    <w:p>
      <w:pPr>
        <w:widowControl/>
        <w:ind w:firstLine="0" w:firstLineChars="0"/>
        <w:jc w:val="left"/>
        <w:rPr>
          <w:sz w:val="24"/>
        </w:rPr>
      </w:pPr>
      <w:r>
        <w:rPr>
          <w:sz w:val="24"/>
        </w:rPr>
        <w:br w:type="page"/>
      </w:r>
    </w:p>
    <w:p>
      <w:pPr>
        <w:pStyle w:val="2"/>
        <w:ind w:left="0" w:firstLine="0"/>
      </w:pPr>
      <w:r>
        <w:rPr>
          <w:rFonts w:hint="eastAsia"/>
        </w:rPr>
        <w:t>系统介绍-特色功能</w:t>
      </w:r>
    </w:p>
    <w:p>
      <w:pPr>
        <w:ind w:firstLine="0" w:firstLineChars="0"/>
      </w:pPr>
      <w:r>
        <w:drawing>
          <wp:inline distT="0" distB="0" distL="0" distR="0">
            <wp:extent cx="5274310" cy="4415155"/>
            <wp:effectExtent l="0" t="0" r="254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1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0" w:firstLineChars="0"/>
      </w:pPr>
    </w:p>
    <w:p>
      <w:pPr>
        <w:pStyle w:val="18"/>
        <w:numPr>
          <w:ilvl w:val="0"/>
          <w:numId w:val="4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横向检测：将上传作业与系统已有海量数据进行比对</w:t>
      </w:r>
    </w:p>
    <w:p>
      <w:pPr>
        <w:pStyle w:val="18"/>
        <w:numPr>
          <w:ilvl w:val="0"/>
          <w:numId w:val="4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纵向检测：将历年电子版作业上传至自建比对库中，作为检测比对数据，防止上下年级学生间抄袭</w:t>
      </w:r>
    </w:p>
    <w:p>
      <w:pPr>
        <w:pStyle w:val="18"/>
        <w:numPr>
          <w:ilvl w:val="0"/>
          <w:numId w:val="4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校内互检：防止同届学生间相互抄袭</w:t>
      </w:r>
    </w:p>
    <w:p>
      <w:pPr>
        <w:pStyle w:val="18"/>
        <w:numPr>
          <w:ilvl w:val="0"/>
          <w:numId w:val="4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多维度信息统计：支持按课程作业、授课教师、学生等不同维度进行信息实时统计分析，帮助学校各级管理部门动态掌握课程作业完成进度和作业质量。</w:t>
      </w:r>
    </w:p>
    <w:p>
      <w:pPr>
        <w:pStyle w:val="18"/>
        <w:numPr>
          <w:ilvl w:val="0"/>
          <w:numId w:val="4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写作训练辅助：在学生课程作业的完成过程中，应用人工智能技术，为学生提供不同阶段所需写作辅助服务，包括作业初步分析、作业框架搭建、作业资料查找和推荐、作业内容和格式检查等功能，帮助学生更有效、更高质量的完成作业。</w:t>
      </w:r>
    </w:p>
    <w:p>
      <w:pPr>
        <w:widowControl/>
        <w:ind w:firstLine="0" w:firstLineChars="0"/>
        <w:jc w:val="left"/>
        <w:rPr>
          <w:sz w:val="24"/>
        </w:rPr>
      </w:pPr>
      <w:r>
        <w:rPr>
          <w:sz w:val="24"/>
        </w:rPr>
        <w:br w:type="page"/>
      </w:r>
    </w:p>
    <w:p>
      <w:pPr>
        <w:pStyle w:val="2"/>
        <w:ind w:left="0" w:firstLine="0"/>
      </w:pPr>
      <w:r>
        <w:rPr>
          <w:rFonts w:hint="eastAsia"/>
        </w:rPr>
        <w:t>系统角色与功能模块</w:t>
      </w:r>
    </w:p>
    <w:p>
      <w:pPr>
        <w:ind w:firstLine="0" w:firstLineChars="0"/>
      </w:pPr>
      <w:r>
        <w:drawing>
          <wp:inline distT="0" distB="0" distL="0" distR="0">
            <wp:extent cx="5274310" cy="2588895"/>
            <wp:effectExtent l="0" t="0" r="254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9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8"/>
        <w:spacing w:line="360" w:lineRule="auto"/>
        <w:ind w:firstLine="424" w:firstLineChars="177"/>
        <w:rPr>
          <w:sz w:val="24"/>
        </w:rPr>
      </w:pPr>
      <w:r>
        <w:rPr>
          <w:rFonts w:hint="eastAsia"/>
          <w:sz w:val="24"/>
        </w:rPr>
        <w:t>系统设置了“管理员”“二级管理员”“教师或助教”“学生”角色，参与课程作业检测的各个环节；系统根据各项设置，为学生提交的作业进行检测，并出具检测结果和报告单。</w:t>
      </w:r>
    </w:p>
    <w:p>
      <w:pPr>
        <w:pStyle w:val="18"/>
        <w:spacing w:line="360" w:lineRule="auto"/>
        <w:ind w:firstLine="424" w:firstLineChars="177"/>
        <w:rPr>
          <w:rFonts w:hint="eastAsia"/>
          <w:sz w:val="24"/>
        </w:rPr>
      </w:pPr>
    </w:p>
    <w:p>
      <w:pPr>
        <w:pStyle w:val="18"/>
        <w:spacing w:line="360" w:lineRule="auto"/>
        <w:ind w:firstLine="0" w:firstLineChars="0"/>
        <w:rPr>
          <w:sz w:val="24"/>
        </w:rPr>
      </w:pPr>
      <w:r>
        <w:rPr>
          <w:rFonts w:hint="eastAsia"/>
          <w:sz w:val="24"/>
        </w:rPr>
        <w:t>系统</w:t>
      </w:r>
      <w:r>
        <w:rPr>
          <w:sz w:val="24"/>
        </w:rPr>
        <w:t>运行过程包括</w:t>
      </w:r>
      <w:r>
        <w:rPr>
          <w:rFonts w:hint="eastAsia"/>
          <w:sz w:val="24"/>
        </w:rPr>
        <w:t>：</w:t>
      </w:r>
    </w:p>
    <w:p>
      <w:pPr>
        <w:pStyle w:val="18"/>
        <w:numPr>
          <w:ilvl w:val="0"/>
          <w:numId w:val="5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导入课程（前期需要进行账号和系统使用前的各项设置）</w:t>
      </w:r>
    </w:p>
    <w:p>
      <w:pPr>
        <w:pStyle w:val="18"/>
        <w:numPr>
          <w:ilvl w:val="0"/>
          <w:numId w:val="5"/>
        </w:numPr>
        <w:spacing w:line="360" w:lineRule="auto"/>
        <w:ind w:left="425" w:hanging="425" w:firstLineChars="0"/>
        <w:rPr>
          <w:sz w:val="24"/>
        </w:rPr>
      </w:pPr>
      <w:r>
        <w:rPr>
          <w:rFonts w:hint="eastAsia"/>
          <w:sz w:val="24"/>
        </w:rPr>
        <w:t>教师或助教认领和设置课程（具体可细化到课程标签和每一次作业）</w:t>
      </w:r>
    </w:p>
    <w:p>
      <w:pPr>
        <w:pStyle w:val="18"/>
        <w:numPr>
          <w:ilvl w:val="0"/>
          <w:numId w:val="5"/>
        </w:numPr>
        <w:spacing w:line="360" w:lineRule="auto"/>
        <w:ind w:left="490" w:hanging="490" w:firstLineChars="0"/>
        <w:rPr>
          <w:sz w:val="24"/>
        </w:rPr>
      </w:pPr>
      <w:r>
        <w:rPr>
          <w:rFonts w:hint="eastAsia"/>
          <w:sz w:val="24"/>
        </w:rPr>
        <w:t>学生关联课程</w:t>
      </w:r>
    </w:p>
    <w:p>
      <w:pPr>
        <w:pStyle w:val="18"/>
        <w:numPr>
          <w:ilvl w:val="0"/>
          <w:numId w:val="5"/>
        </w:numPr>
        <w:spacing w:line="360" w:lineRule="auto"/>
        <w:ind w:left="555" w:hanging="555" w:firstLineChars="0"/>
        <w:rPr>
          <w:sz w:val="24"/>
        </w:rPr>
      </w:pPr>
      <w:r>
        <w:rPr>
          <w:rFonts w:hint="eastAsia"/>
          <w:sz w:val="24"/>
        </w:rPr>
        <w:t>学生提交作业</w:t>
      </w:r>
    </w:p>
    <w:p>
      <w:pPr>
        <w:pStyle w:val="18"/>
        <w:numPr>
          <w:ilvl w:val="0"/>
          <w:numId w:val="5"/>
        </w:numPr>
        <w:spacing w:line="360" w:lineRule="auto"/>
        <w:ind w:left="555" w:hanging="555" w:firstLineChars="0"/>
        <w:rPr>
          <w:sz w:val="24"/>
        </w:rPr>
      </w:pPr>
      <w:r>
        <w:rPr>
          <w:rFonts w:hint="eastAsia"/>
          <w:sz w:val="24"/>
        </w:rPr>
        <w:t>教师或助教确认或审核作业（该环节为可选环节，系统将根据有关作业检测设置进行处理）</w:t>
      </w:r>
    </w:p>
    <w:p>
      <w:pPr>
        <w:pStyle w:val="18"/>
        <w:numPr>
          <w:ilvl w:val="0"/>
          <w:numId w:val="5"/>
        </w:numPr>
        <w:spacing w:line="360" w:lineRule="auto"/>
        <w:ind w:left="555" w:hanging="555" w:firstLineChars="0"/>
        <w:rPr>
          <w:sz w:val="24"/>
        </w:rPr>
      </w:pPr>
      <w:r>
        <w:rPr>
          <w:rFonts w:hint="eastAsia"/>
          <w:sz w:val="24"/>
        </w:rPr>
        <w:t>作业检测</w:t>
      </w:r>
    </w:p>
    <w:p>
      <w:pPr>
        <w:pStyle w:val="18"/>
        <w:numPr>
          <w:ilvl w:val="0"/>
          <w:numId w:val="5"/>
        </w:numPr>
        <w:spacing w:line="360" w:lineRule="auto"/>
        <w:ind w:left="555" w:hanging="555" w:firstLineChars="0"/>
        <w:rPr>
          <w:sz w:val="24"/>
        </w:rPr>
      </w:pPr>
      <w:r>
        <w:rPr>
          <w:rFonts w:hint="eastAsia"/>
          <w:sz w:val="24"/>
        </w:rPr>
        <w:t>出具检测结果</w:t>
      </w:r>
    </w:p>
    <w:p>
      <w:pPr>
        <w:widowControl/>
        <w:ind w:firstLine="0" w:firstLineChars="0"/>
        <w:jc w:val="left"/>
        <w:rPr>
          <w:sz w:val="24"/>
        </w:rPr>
      </w:pPr>
      <w:r>
        <w:rPr>
          <w:sz w:val="24"/>
        </w:rPr>
        <w:br w:type="page"/>
      </w:r>
    </w:p>
    <w:p>
      <w:pPr>
        <w:spacing w:line="360" w:lineRule="auto"/>
        <w:ind w:firstLine="480"/>
        <w:rPr>
          <w:sz w:val="24"/>
        </w:rPr>
      </w:pPr>
      <w:r>
        <w:rPr>
          <w:sz w:val="24"/>
        </w:rPr>
        <w:t>从总体功能上</w:t>
      </w:r>
      <w:r>
        <w:rPr>
          <w:rFonts w:hint="eastAsia"/>
          <w:sz w:val="24"/>
        </w:rPr>
        <w:t>，系统分为系统使用前准备、教师/助教认领和设置、学生关联课程和提交作业、系统检测作业、信息统计五大模块。总体功能设置图示为：</w:t>
      </w:r>
    </w:p>
    <w:p>
      <w:pPr>
        <w:spacing w:line="360" w:lineRule="auto"/>
        <w:ind w:firstLine="0" w:firstLineChars="0"/>
        <w:rPr>
          <w:rFonts w:hint="eastAsia"/>
          <w:sz w:val="24"/>
        </w:rPr>
      </w:pPr>
      <w:r>
        <w:rPr>
          <w:rFonts w:hint="eastAsia"/>
        </w:rPr>
        <w:drawing>
          <wp:inline distT="0" distB="0" distL="0" distR="0">
            <wp:extent cx="5274310" cy="2792730"/>
            <wp:effectExtent l="0" t="0" r="254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93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0" w:firstLineChars="0"/>
        <w:rPr>
          <w:rFonts w:hint="eastAsia"/>
          <w:sz w:val="24"/>
        </w:rPr>
      </w:pPr>
    </w:p>
    <w:p>
      <w:pPr>
        <w:ind w:firstLine="0" w:firstLineChars="0"/>
      </w:pPr>
    </w:p>
    <w:p>
      <w:pPr>
        <w:pStyle w:val="2"/>
        <w:ind w:left="0" w:firstLine="0"/>
      </w:pPr>
      <w:r>
        <w:rPr>
          <w:rFonts w:hint="eastAsia"/>
        </w:rPr>
        <w:t>系统中对指标结果的界定</w:t>
      </w:r>
    </w:p>
    <w:p>
      <w:pPr>
        <w:spacing w:line="312" w:lineRule="auto"/>
        <w:ind w:firstLine="48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目前系统中对检测结果除“查重率”外，还会做如下界定：</w:t>
      </w:r>
    </w:p>
    <w:p>
      <w:pPr>
        <w:spacing w:line="312" w:lineRule="auto"/>
        <w:ind w:firstLine="480"/>
        <w:rPr>
          <w:rFonts w:hint="eastAsia" w:ascii="仿宋" w:hAnsi="仿宋"/>
          <w:sz w:val="24"/>
        </w:rPr>
      </w:pPr>
    </w:p>
    <w:p>
      <w:pPr>
        <w:pStyle w:val="18"/>
        <w:numPr>
          <w:ilvl w:val="0"/>
          <w:numId w:val="6"/>
        </w:numPr>
        <w:spacing w:line="312" w:lineRule="auto"/>
        <w:ind w:firstLineChars="0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疑似剽窃观点</w:t>
      </w:r>
    </w:p>
    <w:p>
      <w:pPr>
        <w:pStyle w:val="18"/>
        <w:numPr>
          <w:ilvl w:val="0"/>
          <w:numId w:val="7"/>
        </w:numPr>
        <w:spacing w:line="312" w:lineRule="auto"/>
        <w:ind w:firstLineChars="0"/>
        <w:rPr>
          <w:rFonts w:hint="eastAsia" w:ascii="仿宋" w:hAnsi="仿宋"/>
          <w:sz w:val="24"/>
        </w:rPr>
      </w:pPr>
      <w:r>
        <w:rPr>
          <w:rFonts w:hint="eastAsia" w:ascii="仿宋" w:hAnsi="仿宋"/>
          <w:sz w:val="24"/>
        </w:rPr>
        <w:t>直接使用他人已发表文献中的论点、观点、结论等，却不加引号和引注。</w:t>
      </w:r>
    </w:p>
    <w:p>
      <w:pPr>
        <w:pStyle w:val="18"/>
        <w:numPr>
          <w:ilvl w:val="0"/>
          <w:numId w:val="7"/>
        </w:numPr>
        <w:spacing w:line="312" w:lineRule="auto"/>
        <w:ind w:firstLineChars="0"/>
        <w:rPr>
          <w:rFonts w:hint="eastAsia" w:ascii="仿宋" w:hAnsi="仿宋"/>
          <w:sz w:val="24"/>
        </w:rPr>
      </w:pPr>
      <w:r>
        <w:rPr>
          <w:rFonts w:hint="eastAsia" w:ascii="仿宋" w:hAnsi="仿宋"/>
          <w:sz w:val="24"/>
        </w:rPr>
        <w:t>不改变其本意地转述他人的论点、观点、结论等，却不加引注。</w:t>
      </w:r>
    </w:p>
    <w:p>
      <w:pPr>
        <w:pStyle w:val="18"/>
        <w:numPr>
          <w:ilvl w:val="0"/>
          <w:numId w:val="7"/>
        </w:numPr>
        <w:spacing w:line="312" w:lineRule="auto"/>
        <w:ind w:firstLineChars="0"/>
        <w:rPr>
          <w:rFonts w:hint="eastAsia" w:ascii="仿宋" w:hAnsi="仿宋"/>
          <w:sz w:val="24"/>
        </w:rPr>
      </w:pPr>
      <w:r>
        <w:rPr>
          <w:rFonts w:hint="eastAsia" w:ascii="仿宋" w:hAnsi="仿宋"/>
          <w:sz w:val="24"/>
        </w:rPr>
        <w:t>对他人的论点、观点、结论等删简部分内容后使用，却不加引注。</w:t>
      </w:r>
    </w:p>
    <w:p>
      <w:pPr>
        <w:pStyle w:val="18"/>
        <w:numPr>
          <w:ilvl w:val="0"/>
          <w:numId w:val="7"/>
        </w:numPr>
        <w:spacing w:line="312" w:lineRule="auto"/>
        <w:ind w:firstLineChars="0"/>
        <w:rPr>
          <w:rFonts w:hint="eastAsia" w:ascii="仿宋" w:hAnsi="仿宋"/>
          <w:sz w:val="24"/>
        </w:rPr>
      </w:pPr>
      <w:r>
        <w:rPr>
          <w:rFonts w:hint="eastAsia" w:ascii="仿宋" w:hAnsi="仿宋"/>
          <w:sz w:val="24"/>
        </w:rPr>
        <w:t>对他人的论点、观点、结论等拆分或重组后使用，却不加引注。</w:t>
      </w:r>
    </w:p>
    <w:p>
      <w:pPr>
        <w:pStyle w:val="18"/>
        <w:numPr>
          <w:ilvl w:val="0"/>
          <w:numId w:val="7"/>
        </w:numPr>
        <w:spacing w:line="312" w:lineRule="auto"/>
        <w:ind w:firstLineChars="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对他人的论点、观点、结论等增加一些内容后使用，却不加引注</w:t>
      </w:r>
    </w:p>
    <w:p>
      <w:pPr>
        <w:pStyle w:val="18"/>
        <w:spacing w:line="312" w:lineRule="auto"/>
        <w:ind w:left="780" w:firstLine="0" w:firstLineChars="0"/>
        <w:rPr>
          <w:rFonts w:hint="eastAsia" w:ascii="仿宋" w:hAnsi="仿宋"/>
          <w:sz w:val="24"/>
        </w:rPr>
      </w:pPr>
    </w:p>
    <w:p>
      <w:pPr>
        <w:pStyle w:val="18"/>
        <w:numPr>
          <w:ilvl w:val="0"/>
          <w:numId w:val="6"/>
        </w:numPr>
        <w:spacing w:line="312" w:lineRule="auto"/>
        <w:ind w:firstLineChars="0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疑似剽窃文字表述</w:t>
      </w:r>
    </w:p>
    <w:p>
      <w:pPr>
        <w:pStyle w:val="18"/>
        <w:numPr>
          <w:ilvl w:val="0"/>
          <w:numId w:val="8"/>
        </w:numPr>
        <w:spacing w:line="312" w:lineRule="auto"/>
        <w:ind w:firstLineChars="0"/>
        <w:rPr>
          <w:rFonts w:hint="eastAsia" w:ascii="仿宋" w:hAnsi="仿宋"/>
          <w:sz w:val="24"/>
        </w:rPr>
      </w:pPr>
      <w:r>
        <w:rPr>
          <w:rFonts w:hint="eastAsia" w:ascii="仿宋" w:hAnsi="仿宋"/>
          <w:sz w:val="24"/>
        </w:rPr>
        <w:t>直接使用他人已发表文献中的文字表述，却不加引注。</w:t>
      </w:r>
    </w:p>
    <w:p>
      <w:pPr>
        <w:pStyle w:val="18"/>
        <w:numPr>
          <w:ilvl w:val="0"/>
          <w:numId w:val="8"/>
        </w:numPr>
        <w:spacing w:line="312" w:lineRule="auto"/>
        <w:ind w:firstLineChars="0"/>
        <w:rPr>
          <w:rFonts w:hint="eastAsia" w:ascii="仿宋" w:hAnsi="仿宋"/>
          <w:sz w:val="24"/>
        </w:rPr>
      </w:pPr>
      <w:r>
        <w:rPr>
          <w:rFonts w:hint="eastAsia" w:ascii="仿宋" w:hAnsi="仿宋"/>
          <w:sz w:val="24"/>
        </w:rPr>
        <w:t>成段使用他人已发表文献中的文字表述，虽然进行了引注，但对所使用</w:t>
      </w:r>
    </w:p>
    <w:p>
      <w:pPr>
        <w:pStyle w:val="18"/>
        <w:spacing w:line="312" w:lineRule="auto"/>
        <w:ind w:left="360" w:firstLine="480"/>
        <w:rPr>
          <w:rFonts w:hint="eastAsia" w:ascii="仿宋" w:hAnsi="仿宋"/>
          <w:sz w:val="24"/>
        </w:rPr>
      </w:pPr>
      <w:r>
        <w:rPr>
          <w:rFonts w:hint="eastAsia" w:ascii="仿宋" w:hAnsi="仿宋"/>
          <w:sz w:val="24"/>
        </w:rPr>
        <w:t>文字不加引号，或者不改变字体，或者不使用特定的排列方式显示。</w:t>
      </w:r>
    </w:p>
    <w:p>
      <w:pPr>
        <w:pStyle w:val="18"/>
        <w:numPr>
          <w:ilvl w:val="0"/>
          <w:numId w:val="8"/>
        </w:numPr>
        <w:spacing w:line="312" w:lineRule="auto"/>
        <w:ind w:firstLineChars="0"/>
        <w:rPr>
          <w:rFonts w:hint="eastAsia" w:ascii="仿宋" w:hAnsi="仿宋"/>
          <w:sz w:val="24"/>
        </w:rPr>
      </w:pPr>
      <w:r>
        <w:rPr>
          <w:rFonts w:hint="eastAsia" w:ascii="仿宋" w:hAnsi="仿宋"/>
          <w:sz w:val="24"/>
        </w:rPr>
        <w:t>多处使用某一已发表文献中的文字表述，却只在其中一处或几处加以标</w:t>
      </w:r>
    </w:p>
    <w:p>
      <w:pPr>
        <w:pStyle w:val="18"/>
        <w:spacing w:line="312" w:lineRule="auto"/>
        <w:ind w:left="780" w:firstLine="0" w:firstLineChars="0"/>
        <w:rPr>
          <w:rFonts w:hint="eastAsia" w:ascii="仿宋" w:hAnsi="仿宋"/>
          <w:sz w:val="24"/>
        </w:rPr>
      </w:pPr>
      <w:r>
        <w:rPr>
          <w:rFonts w:hint="eastAsia" w:ascii="仿宋" w:hAnsi="仿宋"/>
          <w:sz w:val="24"/>
        </w:rPr>
        <w:t>注。</w:t>
      </w:r>
    </w:p>
    <w:p>
      <w:pPr>
        <w:pStyle w:val="18"/>
        <w:numPr>
          <w:ilvl w:val="0"/>
          <w:numId w:val="8"/>
        </w:numPr>
        <w:spacing w:line="312" w:lineRule="auto"/>
        <w:ind w:firstLineChars="0"/>
        <w:rPr>
          <w:rFonts w:hint="eastAsia" w:ascii="仿宋" w:hAnsi="仿宋"/>
          <w:sz w:val="24"/>
        </w:rPr>
      </w:pPr>
      <w:r>
        <w:rPr>
          <w:rFonts w:hint="eastAsia" w:ascii="仿宋" w:hAnsi="仿宋"/>
          <w:sz w:val="24"/>
        </w:rPr>
        <w:t>连续使用来源于多个文献的文字表述，却只标注其中一个或几个文献出</w:t>
      </w:r>
    </w:p>
    <w:p>
      <w:pPr>
        <w:pStyle w:val="18"/>
        <w:spacing w:line="312" w:lineRule="auto"/>
        <w:ind w:left="780" w:firstLine="0" w:firstLineChars="0"/>
        <w:rPr>
          <w:rFonts w:hint="eastAsia" w:ascii="仿宋" w:hAnsi="仿宋"/>
          <w:sz w:val="24"/>
        </w:rPr>
      </w:pPr>
      <w:r>
        <w:rPr>
          <w:rFonts w:hint="eastAsia" w:ascii="仿宋" w:hAnsi="仿宋"/>
          <w:sz w:val="24"/>
        </w:rPr>
        <w:t>处。</w:t>
      </w:r>
    </w:p>
    <w:p>
      <w:pPr>
        <w:pStyle w:val="18"/>
        <w:numPr>
          <w:ilvl w:val="0"/>
          <w:numId w:val="8"/>
        </w:numPr>
        <w:spacing w:line="312" w:lineRule="auto"/>
        <w:ind w:firstLineChars="0"/>
        <w:rPr>
          <w:rFonts w:hint="eastAsia" w:ascii="仿宋" w:hAnsi="仿宋"/>
          <w:sz w:val="24"/>
        </w:rPr>
      </w:pPr>
      <w:r>
        <w:rPr>
          <w:rFonts w:hint="eastAsia" w:ascii="仿宋" w:hAnsi="仿宋"/>
          <w:sz w:val="24"/>
        </w:rPr>
        <w:t>不改变其本意地转述他人已发表文献中的文字表述，包括概括、简化他</w:t>
      </w:r>
    </w:p>
    <w:p>
      <w:pPr>
        <w:pStyle w:val="18"/>
        <w:spacing w:line="312" w:lineRule="auto"/>
        <w:ind w:left="780" w:firstLine="0" w:firstLineChars="0"/>
        <w:rPr>
          <w:rFonts w:hint="eastAsia" w:ascii="仿宋" w:hAnsi="仿宋"/>
          <w:sz w:val="24"/>
        </w:rPr>
      </w:pPr>
      <w:r>
        <w:rPr>
          <w:rFonts w:hint="eastAsia" w:ascii="仿宋" w:hAnsi="仿宋"/>
          <w:sz w:val="24"/>
        </w:rPr>
        <w:t>人已发表文献中的文字，或者改变他人已发表文献中的文字表述的句式，或者用</w:t>
      </w:r>
    </w:p>
    <w:p>
      <w:pPr>
        <w:pStyle w:val="18"/>
        <w:spacing w:line="312" w:lineRule="auto"/>
        <w:ind w:left="780" w:firstLine="0" w:firstLineChars="0"/>
        <w:rPr>
          <w:rFonts w:hint="eastAsia" w:ascii="仿宋" w:hAnsi="仿宋"/>
          <w:sz w:val="24"/>
        </w:rPr>
      </w:pPr>
      <w:r>
        <w:rPr>
          <w:rFonts w:hint="eastAsia" w:ascii="仿宋" w:hAnsi="仿宋"/>
          <w:sz w:val="24"/>
        </w:rPr>
        <w:t>类似词语对他人已发表文献中的文字表述进行同义替换，却不加引注。</w:t>
      </w:r>
    </w:p>
    <w:p>
      <w:pPr>
        <w:pStyle w:val="18"/>
        <w:numPr>
          <w:ilvl w:val="0"/>
          <w:numId w:val="8"/>
        </w:numPr>
        <w:spacing w:line="312" w:lineRule="auto"/>
        <w:ind w:firstLineChars="0"/>
        <w:rPr>
          <w:rFonts w:hint="eastAsia" w:ascii="仿宋" w:hAnsi="仿宋"/>
          <w:sz w:val="24"/>
        </w:rPr>
      </w:pPr>
      <w:r>
        <w:rPr>
          <w:rFonts w:hint="eastAsia" w:ascii="仿宋" w:hAnsi="仿宋"/>
          <w:sz w:val="24"/>
        </w:rPr>
        <w:t>对他人已发表文献中的文字表述增加一些词句后使用，却不加引注。</w:t>
      </w:r>
    </w:p>
    <w:p>
      <w:pPr>
        <w:pStyle w:val="18"/>
        <w:numPr>
          <w:ilvl w:val="0"/>
          <w:numId w:val="8"/>
        </w:numPr>
        <w:spacing w:line="312" w:lineRule="auto"/>
        <w:ind w:firstLineChars="0"/>
        <w:rPr>
          <w:rFonts w:hint="eastAsia" w:ascii="仿宋" w:hAnsi="仿宋"/>
          <w:sz w:val="24"/>
        </w:rPr>
      </w:pPr>
      <w:r>
        <w:rPr>
          <w:rFonts w:hint="eastAsia" w:ascii="仿宋" w:hAnsi="仿宋"/>
          <w:sz w:val="24"/>
        </w:rPr>
        <w:t>对他人已发表文献中的文字表述删减一些词句后使用，却不加引注。</w:t>
      </w:r>
    </w:p>
    <w:p>
      <w:pPr>
        <w:pStyle w:val="18"/>
        <w:numPr>
          <w:ilvl w:val="0"/>
          <w:numId w:val="8"/>
        </w:numPr>
        <w:spacing w:line="312" w:lineRule="auto"/>
        <w:ind w:firstLineChars="0"/>
        <w:rPr>
          <w:rFonts w:hint="eastAsia" w:ascii="仿宋" w:hAnsi="仿宋"/>
          <w:sz w:val="24"/>
        </w:rPr>
      </w:pPr>
      <w:r>
        <w:rPr>
          <w:rFonts w:hint="eastAsia" w:ascii="仿宋" w:hAnsi="仿宋"/>
          <w:sz w:val="24"/>
        </w:rPr>
        <w:t>直接套用他人已发表文献的论证结构，仅仅改变其中的方法、数据、结</w:t>
      </w:r>
    </w:p>
    <w:p>
      <w:pPr>
        <w:pStyle w:val="18"/>
        <w:spacing w:line="312" w:lineRule="auto"/>
        <w:ind w:left="780" w:firstLine="0" w:firstLineChars="0"/>
        <w:rPr>
          <w:rFonts w:hint="eastAsia" w:ascii="仿宋" w:hAnsi="仿宋"/>
          <w:sz w:val="24"/>
        </w:rPr>
      </w:pPr>
      <w:r>
        <w:rPr>
          <w:rFonts w:hint="eastAsia" w:ascii="仿宋" w:hAnsi="仿宋"/>
          <w:sz w:val="24"/>
        </w:rPr>
        <w:t>论等内容。</w:t>
      </w:r>
    </w:p>
    <w:p>
      <w:pPr>
        <w:pStyle w:val="18"/>
        <w:spacing w:line="312" w:lineRule="auto"/>
        <w:ind w:left="360" w:firstLine="0" w:firstLineChars="0"/>
        <w:rPr>
          <w:rFonts w:hint="eastAsia" w:ascii="仿宋" w:hAnsi="仿宋"/>
          <w:sz w:val="24"/>
        </w:rPr>
      </w:pPr>
    </w:p>
    <w:p>
      <w:pPr>
        <w:pStyle w:val="18"/>
        <w:numPr>
          <w:ilvl w:val="0"/>
          <w:numId w:val="6"/>
        </w:numPr>
        <w:spacing w:line="312" w:lineRule="auto"/>
        <w:ind w:firstLineChars="0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疑似自我剽窃</w:t>
      </w:r>
    </w:p>
    <w:p>
      <w:pPr>
        <w:pStyle w:val="18"/>
        <w:numPr>
          <w:ilvl w:val="0"/>
          <w:numId w:val="9"/>
        </w:numPr>
        <w:spacing w:line="312" w:lineRule="auto"/>
        <w:ind w:firstLineChars="0"/>
        <w:rPr>
          <w:rFonts w:hint="eastAsia" w:ascii="仿宋" w:hAnsi="仿宋"/>
          <w:sz w:val="24"/>
        </w:rPr>
      </w:pPr>
      <w:r>
        <w:rPr>
          <w:rFonts w:hint="eastAsia" w:ascii="仿宋" w:hAnsi="仿宋"/>
          <w:sz w:val="24"/>
        </w:rPr>
        <w:t>在论文中使用自己（或自己作为作者之一）已发表文献中的内容，却不</w:t>
      </w:r>
    </w:p>
    <w:p>
      <w:pPr>
        <w:pStyle w:val="18"/>
        <w:spacing w:line="312" w:lineRule="auto"/>
        <w:ind w:left="780" w:firstLine="0" w:firstLineChars="0"/>
        <w:rPr>
          <w:rFonts w:hint="eastAsia" w:ascii="仿宋" w:hAnsi="仿宋"/>
          <w:sz w:val="24"/>
        </w:rPr>
      </w:pPr>
      <w:r>
        <w:rPr>
          <w:rFonts w:hint="eastAsia" w:ascii="仿宋" w:hAnsi="仿宋"/>
          <w:sz w:val="24"/>
        </w:rPr>
        <w:t>加引注。</w:t>
      </w:r>
    </w:p>
    <w:p>
      <w:pPr>
        <w:pStyle w:val="18"/>
        <w:numPr>
          <w:ilvl w:val="0"/>
          <w:numId w:val="9"/>
        </w:numPr>
        <w:spacing w:line="312" w:lineRule="auto"/>
        <w:ind w:firstLineChars="0"/>
        <w:rPr>
          <w:rFonts w:hint="eastAsia" w:ascii="仿宋" w:hAnsi="仿宋"/>
          <w:sz w:val="24"/>
        </w:rPr>
      </w:pPr>
      <w:r>
        <w:rPr>
          <w:rFonts w:hint="eastAsia" w:ascii="仿宋" w:hAnsi="仿宋"/>
          <w:sz w:val="24"/>
        </w:rPr>
        <w:t>合作作者在论文中使用自己（或其中一个作者）已发表文献中的内容，</w:t>
      </w:r>
    </w:p>
    <w:p>
      <w:pPr>
        <w:pStyle w:val="18"/>
        <w:spacing w:line="312" w:lineRule="auto"/>
        <w:ind w:left="780" w:firstLine="0" w:firstLineChars="0"/>
        <w:rPr>
          <w:rFonts w:hint="eastAsia" w:ascii="仿宋" w:hAnsi="仿宋"/>
          <w:sz w:val="24"/>
        </w:rPr>
      </w:pPr>
      <w:r>
        <w:rPr>
          <w:rFonts w:hint="eastAsia" w:ascii="仿宋" w:hAnsi="仿宋"/>
          <w:sz w:val="24"/>
        </w:rPr>
        <w:t>却不加引注。</w:t>
      </w:r>
    </w:p>
    <w:p>
      <w:pPr>
        <w:pStyle w:val="18"/>
        <w:numPr>
          <w:ilvl w:val="0"/>
          <w:numId w:val="9"/>
        </w:numPr>
        <w:spacing w:line="312" w:lineRule="auto"/>
        <w:ind w:firstLineChars="0"/>
        <w:rPr>
          <w:rFonts w:hint="eastAsia" w:ascii="仿宋" w:hAnsi="仿宋"/>
          <w:sz w:val="24"/>
        </w:rPr>
      </w:pPr>
      <w:r>
        <w:rPr>
          <w:rFonts w:hint="eastAsia" w:ascii="仿宋" w:hAnsi="仿宋"/>
          <w:sz w:val="24"/>
        </w:rPr>
        <w:t>在论文中使用自己已经通过答辩的学位论文中的内容，却不加引注。</w:t>
      </w:r>
    </w:p>
    <w:p>
      <w:pPr>
        <w:pStyle w:val="18"/>
        <w:numPr>
          <w:ilvl w:val="0"/>
          <w:numId w:val="9"/>
        </w:numPr>
        <w:spacing w:line="312" w:lineRule="auto"/>
        <w:ind w:firstLineChars="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论文的主要内容源于自己已经通过答辩的学位论文，却不加说明。</w:t>
      </w:r>
    </w:p>
    <w:p>
      <w:pPr>
        <w:pStyle w:val="18"/>
        <w:spacing w:line="312" w:lineRule="auto"/>
        <w:ind w:left="780" w:firstLine="0" w:firstLineChars="0"/>
        <w:rPr>
          <w:rFonts w:hint="eastAsia" w:ascii="仿宋" w:hAnsi="仿宋"/>
          <w:sz w:val="24"/>
        </w:rPr>
      </w:pPr>
    </w:p>
    <w:p>
      <w:pPr>
        <w:pStyle w:val="18"/>
        <w:numPr>
          <w:ilvl w:val="0"/>
          <w:numId w:val="6"/>
        </w:numPr>
        <w:spacing w:line="312" w:lineRule="auto"/>
        <w:ind w:firstLineChars="0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过度引用</w:t>
      </w:r>
    </w:p>
    <w:p>
      <w:pPr>
        <w:pStyle w:val="18"/>
        <w:numPr>
          <w:ilvl w:val="0"/>
          <w:numId w:val="10"/>
        </w:numPr>
        <w:spacing w:line="312" w:lineRule="auto"/>
        <w:ind w:firstLineChars="0"/>
        <w:rPr>
          <w:rFonts w:ascii="仿宋" w:hAnsi="仿宋"/>
          <w:sz w:val="24"/>
        </w:rPr>
      </w:pPr>
      <w:r>
        <w:rPr>
          <w:rFonts w:hint="eastAsia" w:ascii="仿宋" w:hAnsi="仿宋"/>
          <w:sz w:val="24"/>
        </w:rPr>
        <w:t>所引用的部分构成了论文的主要或实质部分</w:t>
      </w:r>
    </w:p>
    <w:p>
      <w:pPr>
        <w:pStyle w:val="18"/>
        <w:spacing w:line="312" w:lineRule="auto"/>
        <w:ind w:left="780" w:firstLine="0" w:firstLineChars="0"/>
        <w:rPr>
          <w:rFonts w:hint="eastAsia" w:ascii="仿宋" w:hAnsi="仿宋"/>
          <w:sz w:val="24"/>
        </w:rPr>
      </w:pPr>
    </w:p>
    <w:p>
      <w:pPr>
        <w:pStyle w:val="18"/>
        <w:numPr>
          <w:ilvl w:val="0"/>
          <w:numId w:val="6"/>
        </w:numPr>
        <w:spacing w:line="312" w:lineRule="auto"/>
        <w:ind w:firstLineChars="0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疑似整体剽窃</w:t>
      </w:r>
    </w:p>
    <w:p>
      <w:pPr>
        <w:pStyle w:val="18"/>
        <w:numPr>
          <w:ilvl w:val="0"/>
          <w:numId w:val="11"/>
        </w:numPr>
        <w:spacing w:line="312" w:lineRule="auto"/>
        <w:ind w:firstLineChars="0"/>
        <w:rPr>
          <w:rFonts w:hint="eastAsia" w:ascii="仿宋" w:hAnsi="仿宋"/>
          <w:sz w:val="24"/>
        </w:rPr>
      </w:pPr>
      <w:r>
        <w:rPr>
          <w:rFonts w:hint="eastAsia" w:ascii="仿宋" w:hAnsi="仿宋"/>
          <w:sz w:val="24"/>
        </w:rPr>
        <w:t>直接使用他人已发表文献的全部或大部分内容。</w:t>
      </w:r>
    </w:p>
    <w:p>
      <w:pPr>
        <w:pStyle w:val="18"/>
        <w:numPr>
          <w:ilvl w:val="0"/>
          <w:numId w:val="11"/>
        </w:numPr>
        <w:spacing w:line="312" w:lineRule="auto"/>
        <w:ind w:firstLineChars="0"/>
        <w:rPr>
          <w:rFonts w:hint="eastAsia" w:ascii="仿宋" w:hAnsi="仿宋"/>
          <w:sz w:val="24"/>
        </w:rPr>
      </w:pPr>
      <w:r>
        <w:rPr>
          <w:rFonts w:hint="eastAsia" w:ascii="仿宋" w:hAnsi="仿宋"/>
          <w:sz w:val="24"/>
        </w:rPr>
        <w:t>在他人已发表文献的基础上增加部分内容后使用，如补充一些数据，或</w:t>
      </w:r>
    </w:p>
    <w:p>
      <w:pPr>
        <w:pStyle w:val="18"/>
        <w:spacing w:line="312" w:lineRule="auto"/>
        <w:ind w:left="780" w:firstLine="0" w:firstLineChars="0"/>
        <w:rPr>
          <w:rFonts w:hint="eastAsia" w:ascii="仿宋" w:hAnsi="仿宋"/>
          <w:sz w:val="24"/>
        </w:rPr>
      </w:pPr>
      <w:r>
        <w:rPr>
          <w:rFonts w:hint="eastAsia" w:ascii="仿宋" w:hAnsi="仿宋"/>
          <w:sz w:val="24"/>
        </w:rPr>
        <w:t>者补充一些新的分析等。</w:t>
      </w:r>
    </w:p>
    <w:p>
      <w:pPr>
        <w:pStyle w:val="18"/>
        <w:numPr>
          <w:ilvl w:val="0"/>
          <w:numId w:val="11"/>
        </w:numPr>
        <w:spacing w:line="312" w:lineRule="auto"/>
        <w:ind w:firstLineChars="0"/>
        <w:rPr>
          <w:rFonts w:hint="eastAsia" w:ascii="仿宋" w:hAnsi="仿宋"/>
          <w:sz w:val="24"/>
        </w:rPr>
      </w:pPr>
      <w:r>
        <w:rPr>
          <w:rFonts w:hint="eastAsia" w:ascii="仿宋" w:hAnsi="仿宋"/>
          <w:sz w:val="24"/>
        </w:rPr>
        <w:t>缩简他人已发表文献的全部或大部分内容后使用。</w:t>
      </w:r>
    </w:p>
    <w:p>
      <w:pPr>
        <w:pStyle w:val="18"/>
        <w:numPr>
          <w:ilvl w:val="0"/>
          <w:numId w:val="11"/>
        </w:numPr>
        <w:spacing w:line="312" w:lineRule="auto"/>
        <w:ind w:firstLineChars="0"/>
        <w:rPr>
          <w:rFonts w:hint="eastAsia" w:ascii="仿宋" w:hAnsi="仿宋"/>
          <w:sz w:val="24"/>
        </w:rPr>
      </w:pPr>
      <w:r>
        <w:rPr>
          <w:rFonts w:hint="eastAsia" w:ascii="仿宋" w:hAnsi="仿宋"/>
          <w:sz w:val="24"/>
        </w:rPr>
        <w:t>替换他人已发表文献中的研究对象后使用。</w:t>
      </w:r>
    </w:p>
    <w:p>
      <w:pPr>
        <w:pStyle w:val="18"/>
        <w:numPr>
          <w:ilvl w:val="0"/>
          <w:numId w:val="11"/>
        </w:numPr>
        <w:spacing w:line="312" w:lineRule="auto"/>
        <w:ind w:firstLineChars="0"/>
        <w:rPr>
          <w:rFonts w:hint="eastAsia" w:ascii="仿宋" w:hAnsi="仿宋"/>
          <w:sz w:val="24"/>
        </w:rPr>
      </w:pPr>
      <w:r>
        <w:rPr>
          <w:rFonts w:hint="eastAsia" w:ascii="仿宋" w:hAnsi="仿宋"/>
          <w:sz w:val="24"/>
        </w:rPr>
        <w:t>改变他人已发表文献的结构、段落顺序后使用。</w:t>
      </w:r>
    </w:p>
    <w:p>
      <w:pPr>
        <w:pStyle w:val="18"/>
        <w:numPr>
          <w:ilvl w:val="0"/>
          <w:numId w:val="11"/>
        </w:numPr>
        <w:spacing w:line="312" w:lineRule="auto"/>
        <w:ind w:firstLineChars="0"/>
        <w:rPr>
          <w:rFonts w:hint="eastAsia" w:ascii="仿宋" w:hAnsi="仿宋"/>
          <w:sz w:val="24"/>
        </w:rPr>
      </w:pPr>
      <w:r>
        <w:rPr>
          <w:rFonts w:hint="eastAsia" w:ascii="仿宋" w:hAnsi="仿宋"/>
          <w:sz w:val="24"/>
        </w:rPr>
        <w:t>将多篇他人已发表文献拼接成一篇论文后发表。</w:t>
      </w:r>
    </w:p>
    <w:p>
      <w:pPr>
        <w:pStyle w:val="18"/>
        <w:numPr>
          <w:ilvl w:val="0"/>
          <w:numId w:val="11"/>
        </w:numPr>
        <w:spacing w:line="312" w:lineRule="auto"/>
        <w:ind w:firstLineChars="0"/>
        <w:rPr>
          <w:rFonts w:hint="eastAsia" w:ascii="仿宋" w:hAnsi="仿宋"/>
          <w:sz w:val="24"/>
        </w:rPr>
      </w:pPr>
      <w:r>
        <w:rPr>
          <w:rFonts w:hint="eastAsia" w:ascii="仿宋" w:hAnsi="仿宋"/>
          <w:sz w:val="24"/>
        </w:rPr>
        <w:t>直接使用他人已发表文献的全部或大部分参考文献。</w:t>
      </w:r>
    </w:p>
    <w:p>
      <w:pPr>
        <w:pStyle w:val="18"/>
        <w:numPr>
          <w:ilvl w:val="0"/>
          <w:numId w:val="11"/>
        </w:numPr>
        <w:spacing w:line="312" w:lineRule="auto"/>
        <w:ind w:firstLineChars="0"/>
        <w:rPr>
          <w:rFonts w:hint="eastAsia" w:ascii="仿宋" w:hAnsi="仿宋"/>
          <w:sz w:val="24"/>
        </w:rPr>
      </w:pPr>
      <w:r>
        <w:rPr>
          <w:rFonts w:hint="eastAsia" w:ascii="仿宋" w:hAnsi="仿宋"/>
          <w:sz w:val="24"/>
        </w:rPr>
        <w:t>对他人已发表文献中的参考文献进行一些增减后直接使用。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C71C9"/>
    <w:multiLevelType w:val="multilevel"/>
    <w:tmpl w:val="08EC71C9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1F3B3F9D"/>
    <w:multiLevelType w:val="multilevel"/>
    <w:tmpl w:val="1F3B3F9D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2C050262"/>
    <w:multiLevelType w:val="multilevel"/>
    <w:tmpl w:val="2C050262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42BF4A20"/>
    <w:multiLevelType w:val="multilevel"/>
    <w:tmpl w:val="42BF4A20"/>
    <w:lvl w:ilvl="0" w:tentative="0">
      <w:start w:val="1"/>
      <w:numFmt w:val="decimal"/>
      <w:pStyle w:val="3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39571A2"/>
    <w:multiLevelType w:val="multilevel"/>
    <w:tmpl w:val="439571A2"/>
    <w:lvl w:ilvl="0" w:tentative="0">
      <w:start w:val="1"/>
      <w:numFmt w:val="decimal"/>
      <w:pStyle w:val="4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DD8163C"/>
    <w:multiLevelType w:val="multilevel"/>
    <w:tmpl w:val="4DD8163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FE95C9F"/>
    <w:multiLevelType w:val="multilevel"/>
    <w:tmpl w:val="4FE95C9F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7">
    <w:nsid w:val="5C503294"/>
    <w:multiLevelType w:val="multilevel"/>
    <w:tmpl w:val="5C503294"/>
    <w:lvl w:ilvl="0" w:tentative="0">
      <w:start w:val="1"/>
      <w:numFmt w:val="chineseCountingThousand"/>
      <w:pStyle w:val="2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F9D507F"/>
    <w:multiLevelType w:val="multilevel"/>
    <w:tmpl w:val="5F9D507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B846AE6"/>
    <w:multiLevelType w:val="multilevel"/>
    <w:tmpl w:val="6B846AE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FD44DE7"/>
    <w:multiLevelType w:val="multilevel"/>
    <w:tmpl w:val="7FD44DE7"/>
    <w:lvl w:ilvl="0" w:tentative="0">
      <w:start w:val="1"/>
      <w:numFmt w:val="decimal"/>
      <w:lvlText w:val="%1)"/>
      <w:lvlJc w:val="left"/>
      <w:pPr>
        <w:ind w:left="78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8"/>
  </w:num>
  <w:num w:numId="6">
    <w:abstractNumId w:val="9"/>
  </w:num>
  <w:num w:numId="7">
    <w:abstractNumId w:val="10"/>
  </w:num>
  <w:num w:numId="8">
    <w:abstractNumId w:val="1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BC3"/>
    <w:rsid w:val="00082E8B"/>
    <w:rsid w:val="000862CD"/>
    <w:rsid w:val="001219D0"/>
    <w:rsid w:val="00131BA3"/>
    <w:rsid w:val="001D33A3"/>
    <w:rsid w:val="00292B0F"/>
    <w:rsid w:val="00293A1B"/>
    <w:rsid w:val="002A4639"/>
    <w:rsid w:val="003679A8"/>
    <w:rsid w:val="003679F6"/>
    <w:rsid w:val="003E6838"/>
    <w:rsid w:val="0048367B"/>
    <w:rsid w:val="004B5A11"/>
    <w:rsid w:val="004D5748"/>
    <w:rsid w:val="00534FAD"/>
    <w:rsid w:val="00622532"/>
    <w:rsid w:val="00686A17"/>
    <w:rsid w:val="00717F08"/>
    <w:rsid w:val="007D6BC3"/>
    <w:rsid w:val="00844691"/>
    <w:rsid w:val="00845773"/>
    <w:rsid w:val="00886C2F"/>
    <w:rsid w:val="008959FC"/>
    <w:rsid w:val="008E3B9C"/>
    <w:rsid w:val="00972980"/>
    <w:rsid w:val="00B82BEC"/>
    <w:rsid w:val="00CF39C5"/>
    <w:rsid w:val="00D774B3"/>
    <w:rsid w:val="00DD2B60"/>
    <w:rsid w:val="6B09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ind w:firstLineChars="0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numPr>
        <w:ilvl w:val="0"/>
        <w:numId w:val="2"/>
      </w:numPr>
      <w:spacing w:before="260" w:after="260" w:line="415" w:lineRule="auto"/>
      <w:ind w:left="0" w:firstLine="0" w:firstLineChars="0"/>
      <w:outlineLvl w:val="1"/>
    </w:pPr>
    <w:rPr>
      <w:rFonts w:eastAsia="黑体" w:asciiTheme="majorHAnsi" w:hAnsiTheme="majorHAnsi" w:cstheme="majorBidi"/>
      <w:b/>
      <w:bCs/>
      <w:sz w:val="30"/>
      <w:szCs w:val="32"/>
    </w:rPr>
  </w:style>
  <w:style w:type="paragraph" w:styleId="4">
    <w:name w:val="heading 3"/>
    <w:basedOn w:val="1"/>
    <w:next w:val="1"/>
    <w:link w:val="12"/>
    <w:unhideWhenUsed/>
    <w:qFormat/>
    <w:uiPriority w:val="9"/>
    <w:pPr>
      <w:keepNext/>
      <w:keepLines/>
      <w:numPr>
        <w:ilvl w:val="0"/>
        <w:numId w:val="3"/>
      </w:numPr>
      <w:spacing w:before="260" w:after="260" w:line="415" w:lineRule="auto"/>
      <w:ind w:left="0" w:firstLine="0" w:firstLineChars="0"/>
      <w:outlineLvl w:val="2"/>
    </w:pPr>
    <w:rPr>
      <w:rFonts w:eastAsia="黑体"/>
      <w:b/>
      <w:bCs/>
      <w:sz w:val="28"/>
      <w:szCs w:val="32"/>
    </w:rPr>
  </w:style>
  <w:style w:type="paragraph" w:styleId="5">
    <w:name w:val="heading 4"/>
    <w:basedOn w:val="1"/>
    <w:next w:val="1"/>
    <w:link w:val="15"/>
    <w:unhideWhenUsed/>
    <w:qFormat/>
    <w:uiPriority w:val="9"/>
    <w:pPr>
      <w:keepNext/>
      <w:keepLines/>
      <w:spacing w:before="280" w:after="290" w:line="377" w:lineRule="auto"/>
      <w:ind w:firstLine="0" w:firstLineChars="0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7">
    <w:name w:val="Subtitle"/>
    <w:basedOn w:val="1"/>
    <w:next w:val="1"/>
    <w:link w:val="16"/>
    <w:qFormat/>
    <w:uiPriority w:val="11"/>
    <w:pPr>
      <w:spacing w:before="240" w:after="60" w:line="312" w:lineRule="auto"/>
      <w:ind w:firstLine="0" w:firstLineChars="0"/>
      <w:jc w:val="center"/>
      <w:outlineLvl w:val="1"/>
    </w:pPr>
    <w:rPr>
      <w:rFonts w:asciiTheme="minorHAnsi" w:hAnsiTheme="minorHAnsi" w:eastAsiaTheme="minorEastAsia"/>
      <w:b/>
      <w:bCs/>
      <w:kern w:val="28"/>
      <w:sz w:val="32"/>
      <w:szCs w:val="32"/>
    </w:rPr>
  </w:style>
  <w:style w:type="paragraph" w:styleId="8">
    <w:name w:val="Title"/>
    <w:basedOn w:val="1"/>
    <w:next w:val="1"/>
    <w:link w:val="11"/>
    <w:qFormat/>
    <w:uiPriority w:val="10"/>
    <w:pPr>
      <w:spacing w:before="240" w:after="60"/>
      <w:ind w:firstLine="0" w:firstLineChars="0"/>
      <w:jc w:val="center"/>
      <w:outlineLvl w:val="0"/>
    </w:pPr>
    <w:rPr>
      <w:rFonts w:eastAsia="微软雅黑" w:asciiTheme="majorHAnsi" w:hAnsiTheme="majorHAnsi" w:cstheme="majorBidi"/>
      <w:b/>
      <w:bCs/>
      <w:sz w:val="44"/>
      <w:szCs w:val="32"/>
    </w:rPr>
  </w:style>
  <w:style w:type="character" w:customStyle="1" w:styleId="11">
    <w:name w:val="标题 字符"/>
    <w:basedOn w:val="10"/>
    <w:link w:val="8"/>
    <w:uiPriority w:val="10"/>
    <w:rPr>
      <w:rFonts w:eastAsia="微软雅黑" w:asciiTheme="majorHAnsi" w:hAnsiTheme="majorHAnsi" w:cstheme="majorBidi"/>
      <w:b/>
      <w:bCs/>
      <w:sz w:val="44"/>
      <w:szCs w:val="32"/>
    </w:rPr>
  </w:style>
  <w:style w:type="character" w:customStyle="1" w:styleId="12">
    <w:name w:val="标题 3 字符"/>
    <w:basedOn w:val="10"/>
    <w:link w:val="4"/>
    <w:uiPriority w:val="9"/>
    <w:rPr>
      <w:rFonts w:ascii="Times New Roman" w:hAnsi="Times New Roman" w:eastAsia="黑体"/>
      <w:b/>
      <w:bCs/>
      <w:sz w:val="28"/>
      <w:szCs w:val="32"/>
    </w:rPr>
  </w:style>
  <w:style w:type="character" w:customStyle="1" w:styleId="13">
    <w:name w:val="标题 1 字符"/>
    <w:basedOn w:val="10"/>
    <w:link w:val="2"/>
    <w:qFormat/>
    <w:uiPriority w:val="9"/>
    <w:rPr>
      <w:rFonts w:ascii="Times New Roman" w:hAnsi="Times New Roman" w:eastAsia="黑体"/>
      <w:b/>
      <w:bCs/>
      <w:kern w:val="44"/>
      <w:sz w:val="32"/>
      <w:szCs w:val="44"/>
    </w:rPr>
  </w:style>
  <w:style w:type="character" w:customStyle="1" w:styleId="14">
    <w:name w:val="标题 2 字符"/>
    <w:basedOn w:val="10"/>
    <w:link w:val="3"/>
    <w:uiPriority w:val="9"/>
    <w:rPr>
      <w:rFonts w:eastAsia="黑体" w:asciiTheme="majorHAnsi" w:hAnsiTheme="majorHAnsi" w:cstheme="majorBidi"/>
      <w:b/>
      <w:bCs/>
      <w:sz w:val="30"/>
      <w:szCs w:val="32"/>
    </w:rPr>
  </w:style>
  <w:style w:type="character" w:customStyle="1" w:styleId="15">
    <w:name w:val="标题 4 字符"/>
    <w:basedOn w:val="10"/>
    <w:link w:val="5"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6">
    <w:name w:val="副标题 字符"/>
    <w:basedOn w:val="10"/>
    <w:link w:val="7"/>
    <w:qFormat/>
    <w:uiPriority w:val="11"/>
    <w:rPr>
      <w:b/>
      <w:bCs/>
      <w:kern w:val="28"/>
      <w:sz w:val="32"/>
      <w:szCs w:val="32"/>
    </w:rPr>
  </w:style>
  <w:style w:type="character" w:customStyle="1" w:styleId="17">
    <w:name w:val="批注框文本 字符"/>
    <w:basedOn w:val="10"/>
    <w:link w:val="6"/>
    <w:semiHidden/>
    <w:qFormat/>
    <w:uiPriority w:val="99"/>
    <w:rPr>
      <w:rFonts w:ascii="Times New Roman" w:hAnsi="Times New Roman" w:eastAsia="仿宋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365</Words>
  <Characters>2082</Characters>
  <Lines>17</Lines>
  <Paragraphs>4</Paragraphs>
  <TotalTime>67</TotalTime>
  <ScaleCrop>false</ScaleCrop>
  <LinksUpToDate>false</LinksUpToDate>
  <CharactersWithSpaces>2443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2019-03-18T22:51:00Z</dcterms:created>
  <dc:creator>健 雷</dc:creator>
  <cp:lastModifiedBy>梦想玙鹿</cp:lastModifiedBy>
  <dcterms:modified xsi:type="dcterms:W3CDTF">2019-10-24T07:10:56Z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